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1EE822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302BF">
        <w:rPr>
          <w:bCs/>
          <w:noProof w:val="0"/>
          <w:sz w:val="24"/>
          <w:szCs w:val="24"/>
        </w:rPr>
        <w:t>13155</w:t>
      </w:r>
    </w:p>
    <w:p w14:paraId="11776FA6" w14:textId="49336041"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604BE1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7853">
        <w:rPr>
          <w:rFonts w:cs="Arial"/>
          <w:b/>
          <w:bCs/>
          <w:sz w:val="24"/>
          <w:lang w:eastAsia="ja-JP"/>
        </w:rPr>
        <w:t>6.9.3.4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599587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r w:rsidR="00F77853">
        <w:rPr>
          <w:rFonts w:ascii="Arial" w:hAnsi="Arial" w:cs="Arial"/>
          <w:b/>
          <w:bCs/>
          <w:sz w:val="24"/>
        </w:rPr>
        <w:t xml:space="preserve">Further thoughts on </w:t>
      </w:r>
      <w:r w:rsidR="002E2D8C">
        <w:rPr>
          <w:rFonts w:ascii="Arial" w:hAnsi="Arial" w:cs="Arial"/>
          <w:b/>
          <w:bCs/>
          <w:sz w:val="24"/>
        </w:rPr>
        <w:t xml:space="preserve">RLF </w:t>
      </w:r>
      <w:r w:rsidR="00F77853">
        <w:rPr>
          <w:rFonts w:ascii="Arial" w:hAnsi="Arial" w:cs="Arial"/>
          <w:b/>
          <w:bCs/>
          <w:sz w:val="24"/>
        </w:rPr>
        <w:t>d</w:t>
      </w:r>
      <w:r w:rsidR="002E2D8C">
        <w:rPr>
          <w:rFonts w:ascii="Arial" w:hAnsi="Arial" w:cs="Arial"/>
          <w:b/>
          <w:bCs/>
          <w:sz w:val="24"/>
        </w:rPr>
        <w:t xml:space="preserve">etection </w:t>
      </w:r>
      <w:r w:rsidR="00F77853">
        <w:rPr>
          <w:rFonts w:ascii="Arial" w:hAnsi="Arial" w:cs="Arial"/>
          <w:b/>
          <w:bCs/>
          <w:sz w:val="24"/>
        </w:rPr>
        <w:t>in NR</w:t>
      </w:r>
      <w:bookmarkEnd w:id="0"/>
    </w:p>
    <w:p w14:paraId="1F147C23" w14:textId="197BCEB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75ECD" w:rsidRPr="00C75ECD">
        <w:rPr>
          <w:rFonts w:ascii="Arial" w:hAnsi="Arial" w:cs="Arial"/>
          <w:b/>
          <w:bCs/>
          <w:sz w:val="24"/>
        </w:rPr>
        <w:t>NR_Mob_enh</w:t>
      </w:r>
      <w:proofErr w:type="spellEnd"/>
      <w:r w:rsidR="00C75ECD" w:rsidRPr="00C75ECD">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75EC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DB6D146" w:rsidR="007F2E08" w:rsidRDefault="00A24FA2" w:rsidP="00A209D6">
      <w:r>
        <w:t>In RAN2#107 it was agreed to support a T312 mechanism (</w:t>
      </w:r>
      <w:proofErr w:type="gramStart"/>
      <w:r>
        <w:t>similar to</w:t>
      </w:r>
      <w:proofErr w:type="gramEnd"/>
      <w:r>
        <w:t xml:space="preserve"> LTE) in NR</w:t>
      </w:r>
      <w:r w:rsidR="00C75ECD">
        <w:t xml:space="preserve"> (see the agreement box below)</w:t>
      </w:r>
      <w:r>
        <w:t>. In this contribution we will discuss potential enhancements and extensions for T312, as well as further acceleration</w:t>
      </w:r>
      <w:r w:rsidR="00C75ECD">
        <w:t xml:space="preserve"> of</w:t>
      </w:r>
      <w:r>
        <w:t xml:space="preserve"> RLF recovery.</w:t>
      </w:r>
    </w:p>
    <w:tbl>
      <w:tblPr>
        <w:tblStyle w:val="TableGrid"/>
        <w:tblW w:w="0" w:type="auto"/>
        <w:tblLook w:val="04A0" w:firstRow="1" w:lastRow="0" w:firstColumn="1" w:lastColumn="0" w:noHBand="0" w:noVBand="1"/>
      </w:tblPr>
      <w:tblGrid>
        <w:gridCol w:w="9631"/>
      </w:tblGrid>
      <w:tr w:rsidR="00A24FA2" w14:paraId="1D188968" w14:textId="77777777" w:rsidTr="00725B02">
        <w:tc>
          <w:tcPr>
            <w:tcW w:w="9631" w:type="dxa"/>
          </w:tcPr>
          <w:p w14:paraId="7EE4CE65" w14:textId="77777777" w:rsidR="00A24FA2" w:rsidRPr="00A24FA2" w:rsidRDefault="00A24FA2" w:rsidP="00725B02">
            <w:r w:rsidRPr="00A24FA2">
              <w:t>Agreements</w:t>
            </w:r>
          </w:p>
          <w:p w14:paraId="2ACEFD04" w14:textId="77777777" w:rsidR="00A24FA2" w:rsidRPr="00A24FA2" w:rsidRDefault="00A24FA2" w:rsidP="00725B02">
            <w:r w:rsidRPr="00A24FA2">
              <w:t>1</w:t>
            </w:r>
            <w:r w:rsidRPr="00A24FA2">
              <w:tab/>
              <w:t>Support T312 mechanism (</w:t>
            </w:r>
            <w:proofErr w:type="gramStart"/>
            <w:r w:rsidRPr="00A24FA2">
              <w:t>similar to</w:t>
            </w:r>
            <w:proofErr w:type="gramEnd"/>
            <w:r w:rsidRPr="00A24FA2">
              <w:t xml:space="preserve"> LTE). At least applicable for </w:t>
            </w:r>
            <w:proofErr w:type="spellStart"/>
            <w:r w:rsidRPr="00A24FA2">
              <w:t>PCell</w:t>
            </w:r>
            <w:proofErr w:type="spellEnd"/>
          </w:p>
          <w:p w14:paraId="61CD53E6" w14:textId="77777777" w:rsidR="00A24FA2" w:rsidRDefault="00A24FA2" w:rsidP="00725B02">
            <w:r w:rsidRPr="00A24FA2">
              <w:t xml:space="preserve">FFS Whether this is applicable for </w:t>
            </w:r>
            <w:proofErr w:type="spellStart"/>
            <w:r w:rsidRPr="00A24FA2">
              <w:t>PSCell</w:t>
            </w:r>
            <w:proofErr w:type="spellEnd"/>
            <w:r w:rsidRPr="00A24FA2">
              <w:t>.</w:t>
            </w:r>
          </w:p>
        </w:tc>
      </w:tr>
    </w:tbl>
    <w:p w14:paraId="38BDF212" w14:textId="77777777" w:rsidR="00A24FA2" w:rsidRPr="006E13D1" w:rsidRDefault="00A24FA2" w:rsidP="00A209D6"/>
    <w:p w14:paraId="2BBFF540" w14:textId="2C064A78" w:rsidR="00A209D6" w:rsidRPr="006E13D1" w:rsidRDefault="00A209D6" w:rsidP="00A209D6">
      <w:pPr>
        <w:pStyle w:val="Heading1"/>
      </w:pPr>
      <w:r w:rsidRPr="006E13D1">
        <w:t>2</w:t>
      </w:r>
      <w:r w:rsidRPr="006E13D1">
        <w:tab/>
      </w:r>
      <w:r w:rsidR="00A24FA2">
        <w:t>T312 in LTE</w:t>
      </w:r>
    </w:p>
    <w:p w14:paraId="206AE4BE" w14:textId="7FE1544B" w:rsidR="00A24FA2" w:rsidRDefault="00A24FA2" w:rsidP="00A209D6">
      <w:pPr>
        <w:rPr>
          <w:lang w:val="en-US"/>
        </w:rPr>
      </w:pPr>
      <w:r w:rsidRPr="00A24FA2">
        <w:rPr>
          <w:lang w:val="en-US"/>
        </w:rPr>
        <w:t>In LTE, T312 can b</w:t>
      </w:r>
      <w:r>
        <w:rPr>
          <w:lang w:val="en-US"/>
        </w:rPr>
        <w:t xml:space="preserve">e configured for measurement events such as A3. When configured, T312 is started when such an event triggers a measurement report, but only if T310 is already running. Expiry of T312 stops T310 and </w:t>
      </w:r>
      <w:r w:rsidR="00CE04AB">
        <w:rPr>
          <w:lang w:val="en-US"/>
        </w:rPr>
        <w:t xml:space="preserve">the UE </w:t>
      </w:r>
      <w:r>
        <w:rPr>
          <w:lang w:val="en-US"/>
        </w:rPr>
        <w:t>declares RLF immediately. T312 is stopped if a handover command is received</w:t>
      </w:r>
      <w:r w:rsidR="00895A29">
        <w:rPr>
          <w:lang w:val="en-US"/>
        </w:rPr>
        <w:t xml:space="preserve"> (or when N311 in-syncs are received)</w:t>
      </w:r>
      <w:r>
        <w:rPr>
          <w:lang w:val="en-US"/>
        </w:rPr>
        <w:t>.</w:t>
      </w:r>
    </w:p>
    <w:p w14:paraId="502940A2" w14:textId="697F5739" w:rsidR="00A24FA2" w:rsidRPr="00A24FA2" w:rsidRDefault="00A24FA2" w:rsidP="00A209D6">
      <w:pPr>
        <w:rPr>
          <w:lang w:val="en-US"/>
        </w:rPr>
      </w:pPr>
      <w:r>
        <w:rPr>
          <w:lang w:val="en-US"/>
        </w:rPr>
        <w:t xml:space="preserve">T312 would be configured with a value representing the time period within which the UE typically receives a handover command from the network. If the handover command is not received, the UE assumes that either the measurement report or the handover command got lost, both cases </w:t>
      </w:r>
      <w:r w:rsidR="00C334DB">
        <w:rPr>
          <w:lang w:val="en-US"/>
        </w:rPr>
        <w:t>would make it very unlikely to recover within T310 from the radio problem that has started T310. Therefore, the T312 feature was also called “early T310 expiry”.</w:t>
      </w:r>
    </w:p>
    <w:p w14:paraId="766D6D29" w14:textId="44FB25FE" w:rsidR="00A209D6" w:rsidRDefault="00A209D6" w:rsidP="00A209D6">
      <w:pPr>
        <w:pStyle w:val="Heading1"/>
      </w:pPr>
      <w:r w:rsidRPr="006E13D1">
        <w:t>3</w:t>
      </w:r>
      <w:r w:rsidRPr="006E13D1">
        <w:tab/>
      </w:r>
      <w:r w:rsidR="00C334DB">
        <w:t>T312 Enhancements in NR</w:t>
      </w:r>
    </w:p>
    <w:p w14:paraId="71ED5291" w14:textId="7812BC38" w:rsidR="00C334DB" w:rsidRDefault="00C334DB" w:rsidP="00C334DB">
      <w:r>
        <w:t xml:space="preserve">It was mentioned by several companies, that the T312 benefits (shorter interruption through earlier RLF declaration) are not leveraged when the radio problem is detected (and T310 is started) </w:t>
      </w:r>
      <w:r w:rsidRPr="002E3BBC">
        <w:rPr>
          <w:i/>
        </w:rPr>
        <w:t>shortly after</w:t>
      </w:r>
      <w:r>
        <w:t xml:space="preserve"> a measurement report was sent.</w:t>
      </w:r>
    </w:p>
    <w:p w14:paraId="01CBA9BB" w14:textId="29872F24" w:rsidR="00C334DB" w:rsidRDefault="00C334DB" w:rsidP="00C334DB">
      <w:r>
        <w:t>Removing the independence of T310 entirely was not considered to be a viable option since this would take away too much network control; without radio</w:t>
      </w:r>
      <w:r w:rsidR="002E3BBC">
        <w:t xml:space="preserve"> problem, the UE should not declare RLF (the network may decide not to send a handover command). We see two options </w:t>
      </w:r>
      <w:r w:rsidR="0090228C">
        <w:t xml:space="preserve">to obtain </w:t>
      </w:r>
      <w:r w:rsidR="002E3BBC">
        <w:t xml:space="preserve">the T312 benefits when T310 is only started </w:t>
      </w:r>
      <w:r w:rsidR="002E3BBC" w:rsidRPr="00283894">
        <w:rPr>
          <w:i/>
        </w:rPr>
        <w:t>shortly after</w:t>
      </w:r>
      <w:r w:rsidR="002E3BBC">
        <w:t xml:space="preserve"> measurement report:</w:t>
      </w:r>
    </w:p>
    <w:p w14:paraId="3E34C008" w14:textId="0B81CC3B" w:rsidR="002E3BBC" w:rsidRDefault="002E3BBC" w:rsidP="002E3BBC">
      <w:pPr>
        <w:pStyle w:val="ListParagraph"/>
        <w:numPr>
          <w:ilvl w:val="0"/>
          <w:numId w:val="8"/>
        </w:numPr>
      </w:pPr>
      <w:r>
        <w:t>Option 1: Initially, “</w:t>
      </w:r>
      <w:r w:rsidRPr="00283894">
        <w:rPr>
          <w:i/>
        </w:rPr>
        <w:t>shortly after</w:t>
      </w:r>
      <w:r>
        <w:t xml:space="preserve">” </w:t>
      </w:r>
      <w:proofErr w:type="gramStart"/>
      <w:r>
        <w:t>has to</w:t>
      </w:r>
      <w:proofErr w:type="gramEnd"/>
      <w:r>
        <w:t xml:space="preserve"> be quantified, i.e. a new timer T3xx has to be introduced: </w:t>
      </w:r>
    </w:p>
    <w:p w14:paraId="0BD350F9" w14:textId="008E6A5A" w:rsidR="002E3BBC" w:rsidRDefault="002E3BBC" w:rsidP="002E3BBC">
      <w:pPr>
        <w:pStyle w:val="ListParagraph"/>
        <w:numPr>
          <w:ilvl w:val="1"/>
          <w:numId w:val="8"/>
        </w:numPr>
      </w:pPr>
      <w:r>
        <w:t xml:space="preserve">T3xx would be started when a measurement report is triggered </w:t>
      </w:r>
      <w:r w:rsidR="00895A29">
        <w:t xml:space="preserve">and T310 is NOT running </w:t>
      </w:r>
      <w:r w:rsidR="00283894">
        <w:br/>
      </w:r>
      <w:r w:rsidR="00895A29">
        <w:t>(instead of T312)</w:t>
      </w:r>
    </w:p>
    <w:p w14:paraId="53C8A08C" w14:textId="7292C101" w:rsidR="002E3BBC" w:rsidRDefault="002E3BBC" w:rsidP="002E3BBC">
      <w:pPr>
        <w:pStyle w:val="ListParagraph"/>
        <w:numPr>
          <w:ilvl w:val="1"/>
          <w:numId w:val="8"/>
        </w:numPr>
      </w:pPr>
      <w:r>
        <w:t xml:space="preserve">If a radio problem is detected (i.e. T310 is started) while T3xx is running, T312 is started </w:t>
      </w:r>
      <w:r w:rsidR="00283894">
        <w:br/>
      </w:r>
      <w:r>
        <w:t>(along with T310)</w:t>
      </w:r>
      <w:r w:rsidR="00895A29">
        <w:t>, and T3xx is stopped.</w:t>
      </w:r>
    </w:p>
    <w:p w14:paraId="414A004D" w14:textId="7FC0C1B5" w:rsidR="002E3BBC" w:rsidRDefault="002E3BBC" w:rsidP="002E3BBC">
      <w:pPr>
        <w:pStyle w:val="ListParagraph"/>
        <w:numPr>
          <w:ilvl w:val="1"/>
          <w:numId w:val="8"/>
        </w:numPr>
      </w:pPr>
      <w:r>
        <w:t>If T3xx expires (i.e. no radio problem during T3xx), no action is taken.</w:t>
      </w:r>
    </w:p>
    <w:p w14:paraId="20D42C66" w14:textId="524D7500" w:rsidR="00895A29" w:rsidRDefault="00895A29" w:rsidP="002E3BBC">
      <w:pPr>
        <w:pStyle w:val="ListParagraph"/>
        <w:numPr>
          <w:ilvl w:val="1"/>
          <w:numId w:val="8"/>
        </w:numPr>
      </w:pPr>
      <w:r>
        <w:t>T3xx is stopped when Handover Command is received</w:t>
      </w:r>
    </w:p>
    <w:p w14:paraId="01DAF176" w14:textId="397AE11E" w:rsidR="002E3BBC" w:rsidRDefault="002E3BBC" w:rsidP="002E3BBC">
      <w:pPr>
        <w:pStyle w:val="ListParagraph"/>
        <w:numPr>
          <w:ilvl w:val="1"/>
          <w:numId w:val="8"/>
        </w:numPr>
      </w:pPr>
      <w:r>
        <w:t xml:space="preserve">The T312 </w:t>
      </w:r>
      <w:proofErr w:type="spellStart"/>
      <w:r>
        <w:t>behavior</w:t>
      </w:r>
      <w:proofErr w:type="spellEnd"/>
      <w:r>
        <w:t xml:space="preserve"> is left unchanged (other than its start)</w:t>
      </w:r>
    </w:p>
    <w:p w14:paraId="3A1B11B1" w14:textId="1280AB98" w:rsidR="002E3BBC" w:rsidRDefault="002E3BBC" w:rsidP="002E3BBC">
      <w:pPr>
        <w:pStyle w:val="ListParagraph"/>
        <w:numPr>
          <w:ilvl w:val="0"/>
          <w:numId w:val="8"/>
        </w:numPr>
      </w:pPr>
      <w:r>
        <w:t xml:space="preserve">Option 2: We can also </w:t>
      </w:r>
      <w:r w:rsidR="00C04309">
        <w:t>avoid</w:t>
      </w:r>
      <w:r>
        <w:t xml:space="preserve"> the introduction of a new timer:</w:t>
      </w:r>
    </w:p>
    <w:p w14:paraId="34D2B17D" w14:textId="38B99A78" w:rsidR="002E3BBC" w:rsidRDefault="002E3BBC" w:rsidP="002E3BBC">
      <w:pPr>
        <w:pStyle w:val="ListParagraph"/>
        <w:numPr>
          <w:ilvl w:val="1"/>
          <w:numId w:val="8"/>
        </w:numPr>
      </w:pPr>
      <w:r>
        <w:lastRenderedPageBreak/>
        <w:t>T312 would be started when a</w:t>
      </w:r>
      <w:r w:rsidR="00C04309">
        <w:t>ny</w:t>
      </w:r>
      <w:r>
        <w:t xml:space="preserve"> measurement report is triggered</w:t>
      </w:r>
      <w:r w:rsidR="00C04309">
        <w:t xml:space="preserve"> by the corresponding event</w:t>
      </w:r>
      <w:r>
        <w:t>, initially independent of a radio problem / T310, i.e. even if T310 is not running.</w:t>
      </w:r>
    </w:p>
    <w:p w14:paraId="19E73E0D" w14:textId="2E1CBADE" w:rsidR="002E3BBC" w:rsidRDefault="002E3BBC" w:rsidP="002E3BBC">
      <w:pPr>
        <w:pStyle w:val="ListParagraph"/>
        <w:numPr>
          <w:ilvl w:val="1"/>
          <w:numId w:val="8"/>
        </w:numPr>
      </w:pPr>
      <w:r>
        <w:t>If T312 expires AND T310 has been started in the meantime</w:t>
      </w:r>
      <w:r w:rsidR="00895A29">
        <w:t>, RLF is declared</w:t>
      </w:r>
    </w:p>
    <w:p w14:paraId="1F39973D" w14:textId="210E5B1F" w:rsidR="00895A29" w:rsidRDefault="00895A29" w:rsidP="002E3BBC">
      <w:pPr>
        <w:pStyle w:val="ListParagraph"/>
        <w:numPr>
          <w:ilvl w:val="1"/>
          <w:numId w:val="8"/>
        </w:numPr>
      </w:pPr>
      <w:r>
        <w:t>If T312 expires and T310 has not been started, no action is taken.</w:t>
      </w:r>
    </w:p>
    <w:p w14:paraId="3ECA79CC" w14:textId="6D438FCD" w:rsidR="00895A29" w:rsidRDefault="00895A29" w:rsidP="002E3BBC">
      <w:pPr>
        <w:pStyle w:val="ListParagraph"/>
        <w:numPr>
          <w:ilvl w:val="1"/>
          <w:numId w:val="8"/>
        </w:numPr>
      </w:pPr>
      <w:r>
        <w:t>T312 is stopped as today (</w:t>
      </w:r>
      <w:r w:rsidR="008E7CB0">
        <w:t>handover command is</w:t>
      </w:r>
      <w:r>
        <w:t xml:space="preserve"> received or N311 in-syncs are received)</w:t>
      </w:r>
    </w:p>
    <w:p w14:paraId="65D9AC13" w14:textId="364F1CF4" w:rsidR="00895A29" w:rsidRDefault="00895A29" w:rsidP="00895A29">
      <w:r>
        <w:t>For option 2, RLF would be declared a bit earlier than for option 1 which looks intuitive, since a running T310 indicates high likelihood for lost RRC signalling. Furthermore, option 2 does not require a new timer which makes the solution simpler.</w:t>
      </w:r>
    </w:p>
    <w:p w14:paraId="14168806" w14:textId="51E00A37" w:rsidR="00895A29" w:rsidRDefault="00895A29" w:rsidP="00895A29">
      <w:pPr>
        <w:rPr>
          <w:b/>
        </w:rPr>
      </w:pPr>
      <w:r w:rsidRPr="00895A29">
        <w:rPr>
          <w:b/>
        </w:rPr>
        <w:t xml:space="preserve">Proposal </w:t>
      </w:r>
      <w:r w:rsidR="0010107E">
        <w:rPr>
          <w:b/>
        </w:rPr>
        <w:t>1</w:t>
      </w:r>
      <w:r w:rsidRPr="00895A29">
        <w:rPr>
          <w:b/>
        </w:rPr>
        <w:t>: T312 shall be started independent of T310, but expiry of T312 shall only declare RLF i</w:t>
      </w:r>
      <w:r w:rsidR="0010107E">
        <w:rPr>
          <w:b/>
        </w:rPr>
        <w:t>f</w:t>
      </w:r>
      <w:r w:rsidRPr="00895A29">
        <w:rPr>
          <w:b/>
        </w:rPr>
        <w:t xml:space="preserve"> T310 is running </w:t>
      </w:r>
      <w:proofErr w:type="gramStart"/>
      <w:r w:rsidRPr="00895A29">
        <w:rPr>
          <w:b/>
        </w:rPr>
        <w:t>at this point in time</w:t>
      </w:r>
      <w:proofErr w:type="gramEnd"/>
      <w:r w:rsidRPr="00895A29">
        <w:rPr>
          <w:b/>
        </w:rPr>
        <w:t>.</w:t>
      </w:r>
    </w:p>
    <w:p w14:paraId="6D2D1CB8" w14:textId="6C53D2B1" w:rsidR="002A770F" w:rsidRDefault="002A770F" w:rsidP="002A770F">
      <w:pPr>
        <w:pStyle w:val="Heading1"/>
      </w:pPr>
      <w:r>
        <w:t>4</w:t>
      </w:r>
      <w:r w:rsidRPr="006E13D1">
        <w:tab/>
      </w:r>
      <w:r>
        <w:t>T312 for CHO</w:t>
      </w:r>
    </w:p>
    <w:p w14:paraId="483E65CA" w14:textId="13324FDF" w:rsidR="002A770F" w:rsidRDefault="002A770F" w:rsidP="002A770F">
      <w:r>
        <w:t>We would like to emphasize that T312 is defined for measurement events, and not necessarily for legacy handover.</w:t>
      </w:r>
    </w:p>
    <w:p w14:paraId="0C2EE5CC" w14:textId="21918151" w:rsidR="002A770F" w:rsidRDefault="002A770F" w:rsidP="002A770F">
      <w:r>
        <w:t xml:space="preserve">Furthermore, even for CHO with early preparation of the target candidates, </w:t>
      </w:r>
      <w:r w:rsidR="00251125">
        <w:t xml:space="preserve">our </w:t>
      </w:r>
      <w:r>
        <w:t>simulations have shown that there is even residual risk of too late preparation. More precisely, the channel may degrade so fast, that either the measurement report or the CHO Command (i.e. the RRC reconfiguration carrying the CHO configuration) is lost. Hence, we believe that T312 is inherently applicable and helpful to CHO preparation as well. We only need to clarify that T312 is also stopped by CHO command, in addition to the legacy HO Command.</w:t>
      </w:r>
    </w:p>
    <w:p w14:paraId="632F51CE" w14:textId="1AF4B10E" w:rsidR="002A770F" w:rsidRDefault="002A770F" w:rsidP="002A770F">
      <w:pPr>
        <w:rPr>
          <w:b/>
        </w:rPr>
      </w:pPr>
      <w:r w:rsidRPr="00895A29">
        <w:rPr>
          <w:b/>
        </w:rPr>
        <w:t xml:space="preserve">Proposal </w:t>
      </w:r>
      <w:r w:rsidR="00004E92">
        <w:rPr>
          <w:b/>
        </w:rPr>
        <w:t>2</w:t>
      </w:r>
      <w:r w:rsidRPr="00895A29">
        <w:rPr>
          <w:b/>
        </w:rPr>
        <w:t>: T312</w:t>
      </w:r>
      <w:r>
        <w:rPr>
          <w:b/>
        </w:rPr>
        <w:t xml:space="preserve"> is also applicable to CHO preparation. RAN2 needs to clarify that </w:t>
      </w:r>
      <w:r w:rsidR="00004E92">
        <w:rPr>
          <w:b/>
        </w:rPr>
        <w:t xml:space="preserve">RRC Reconfiguration carrying </w:t>
      </w:r>
      <w:r>
        <w:rPr>
          <w:b/>
        </w:rPr>
        <w:t>CHO Command stops T312.</w:t>
      </w:r>
    </w:p>
    <w:p w14:paraId="463998DE" w14:textId="7A7DE9BC" w:rsidR="002A770F" w:rsidRDefault="002A770F" w:rsidP="002A770F">
      <w:r>
        <w:t>For the sake of completeness</w:t>
      </w:r>
      <w:r w:rsidR="00FB2D76">
        <w:t>,</w:t>
      </w:r>
      <w:r>
        <w:t xml:space="preserve"> we should also discuss whether T312 is also applicable to the execution condition. In RAN2#107 it was agreed that no measurement report </w:t>
      </w:r>
      <w:r w:rsidR="00FB2D76">
        <w:t xml:space="preserve">(“bye message”) </w:t>
      </w:r>
      <w:r>
        <w:t xml:space="preserve">is sent </w:t>
      </w:r>
      <w:r w:rsidR="00FB2D76">
        <w:t>when the execution condition expires. Anyway, the proposals for the bye message didn’t involve a response of the network. Thereby, we conclude that T312 is not applicable to the execution condition.</w:t>
      </w:r>
    </w:p>
    <w:p w14:paraId="56C7C5B4" w14:textId="73BD5236" w:rsidR="00FB2D76" w:rsidRDefault="00FB2D76" w:rsidP="00FB2D76">
      <w:pPr>
        <w:rPr>
          <w:b/>
        </w:rPr>
      </w:pPr>
      <w:r w:rsidRPr="00895A29">
        <w:rPr>
          <w:b/>
        </w:rPr>
        <w:t xml:space="preserve">Proposal </w:t>
      </w:r>
      <w:r w:rsidR="00004E92">
        <w:rPr>
          <w:b/>
        </w:rPr>
        <w:t>3</w:t>
      </w:r>
      <w:r w:rsidRPr="00895A29">
        <w:rPr>
          <w:b/>
        </w:rPr>
        <w:t xml:space="preserve">: </w:t>
      </w:r>
      <w:r w:rsidR="00004E92">
        <w:rPr>
          <w:b/>
        </w:rPr>
        <w:t xml:space="preserve">Event that triggers the </w:t>
      </w:r>
      <w:r>
        <w:rPr>
          <w:b/>
        </w:rPr>
        <w:t xml:space="preserve">CHO execution </w:t>
      </w:r>
      <w:r w:rsidR="00004E92">
        <w:rPr>
          <w:b/>
        </w:rPr>
        <w:t>does not initiate timer T312.</w:t>
      </w:r>
    </w:p>
    <w:p w14:paraId="719AFC5B" w14:textId="2B8FDA6D" w:rsidR="00FB2D76" w:rsidRDefault="00FB2D76" w:rsidP="00FB2D76">
      <w:pPr>
        <w:pStyle w:val="Heading1"/>
      </w:pPr>
      <w:r>
        <w:t>5</w:t>
      </w:r>
      <w:r w:rsidRPr="006E13D1">
        <w:tab/>
      </w:r>
      <w:r>
        <w:t xml:space="preserve">T312 for </w:t>
      </w:r>
      <w:proofErr w:type="spellStart"/>
      <w:r>
        <w:t>PSCell</w:t>
      </w:r>
      <w:proofErr w:type="spellEnd"/>
    </w:p>
    <w:p w14:paraId="61D02C1D" w14:textId="586D1B74" w:rsidR="00FB2D76" w:rsidRDefault="00FB2D76" w:rsidP="00FB2D76">
      <w:r>
        <w:t xml:space="preserve">This aspect raised in RAN2#107 addresses </w:t>
      </w:r>
      <w:proofErr w:type="spellStart"/>
      <w:r>
        <w:t>PSCell</w:t>
      </w:r>
      <w:proofErr w:type="spellEnd"/>
      <w:r>
        <w:t xml:space="preserve"> change. On one hand, the RRC signalling (measurement report and RRC reconfigurations) would be handled by MN which typically does not suffer radio risk due to </w:t>
      </w:r>
      <w:proofErr w:type="spellStart"/>
      <w:r>
        <w:t>PSCell</w:t>
      </w:r>
      <w:proofErr w:type="spellEnd"/>
      <w:r>
        <w:t xml:space="preserve"> change. In these cases, T312 would be always stopped, so the benefit is questionable. </w:t>
      </w:r>
    </w:p>
    <w:p w14:paraId="01C015C9" w14:textId="6CC32820" w:rsidR="00FB2D76" w:rsidRDefault="00FB2D76" w:rsidP="00FB2D76">
      <w:r>
        <w:t>In some cases, the RRC signalling is handled directly with the SN (via SRB3, SN</w:t>
      </w:r>
      <w:r w:rsidR="00D1105B">
        <w:t>-</w:t>
      </w:r>
      <w:r>
        <w:t xml:space="preserve">initiated and intra-SN </w:t>
      </w:r>
      <w:proofErr w:type="spellStart"/>
      <w:r>
        <w:t>PSCell</w:t>
      </w:r>
      <w:proofErr w:type="spellEnd"/>
      <w:r>
        <w:t xml:space="preserve"> change)</w:t>
      </w:r>
      <w:r w:rsidR="00524D7C">
        <w:t>.</w:t>
      </w:r>
      <w:r w:rsidR="000E3038">
        <w:t xml:space="preserve"> In these cases, there are the same radio risks for the RRC signalling as for a single-connected handover, and thereby, T312 may help.</w:t>
      </w:r>
    </w:p>
    <w:p w14:paraId="1E11F869" w14:textId="15E73E8D" w:rsidR="000E3038" w:rsidRDefault="000E3038" w:rsidP="00FB2D76">
      <w:r>
        <w:t xml:space="preserve">We would like to emphasize again, that T312 is configured for measurement events. So just as in the </w:t>
      </w:r>
      <w:r w:rsidR="00D1105B">
        <w:t>preceding</w:t>
      </w:r>
      <w:r>
        <w:t xml:space="preserve"> section, it does not require a lot of effort to allow T312 for </w:t>
      </w:r>
      <w:proofErr w:type="spellStart"/>
      <w:r>
        <w:t>PSCell</w:t>
      </w:r>
      <w:proofErr w:type="spellEnd"/>
      <w:r>
        <w:t xml:space="preserve"> changes. It only needs to be clarified that the RRC reconfiguration for the </w:t>
      </w:r>
      <w:proofErr w:type="spellStart"/>
      <w:r>
        <w:t>PSCell</w:t>
      </w:r>
      <w:proofErr w:type="spellEnd"/>
      <w:r>
        <w:t xml:space="preserve"> change would stop T312.</w:t>
      </w:r>
    </w:p>
    <w:p w14:paraId="7EEC72F3" w14:textId="2A6A4940" w:rsidR="000E3038" w:rsidRDefault="000E3038" w:rsidP="000E3038">
      <w:pPr>
        <w:rPr>
          <w:b/>
        </w:rPr>
      </w:pPr>
      <w:r w:rsidRPr="00895A29">
        <w:rPr>
          <w:b/>
        </w:rPr>
        <w:t xml:space="preserve">Proposal </w:t>
      </w:r>
      <w:r w:rsidR="00D1105B">
        <w:rPr>
          <w:b/>
        </w:rPr>
        <w:t>4</w:t>
      </w:r>
      <w:r w:rsidRPr="00895A29">
        <w:rPr>
          <w:b/>
        </w:rPr>
        <w:t>: T312</w:t>
      </w:r>
      <w:r>
        <w:rPr>
          <w:b/>
        </w:rPr>
        <w:t xml:space="preserve"> </w:t>
      </w:r>
      <w:r w:rsidR="00D1105B">
        <w:rPr>
          <w:b/>
        </w:rPr>
        <w:t>can be</w:t>
      </w:r>
      <w:r>
        <w:rPr>
          <w:b/>
        </w:rPr>
        <w:t xml:space="preserve"> also applicable to </w:t>
      </w:r>
      <w:proofErr w:type="spellStart"/>
      <w:r>
        <w:rPr>
          <w:b/>
        </w:rPr>
        <w:t>PSCell</w:t>
      </w:r>
      <w:proofErr w:type="spellEnd"/>
      <w:r>
        <w:rPr>
          <w:b/>
        </w:rPr>
        <w:t xml:space="preserve"> change. RAN2 needs to clarify that the RRC reconfiguration for the </w:t>
      </w:r>
      <w:proofErr w:type="spellStart"/>
      <w:r>
        <w:rPr>
          <w:b/>
        </w:rPr>
        <w:t>PSCell</w:t>
      </w:r>
      <w:proofErr w:type="spellEnd"/>
      <w:r>
        <w:rPr>
          <w:b/>
        </w:rPr>
        <w:t xml:space="preserve"> change stops T312.</w:t>
      </w:r>
    </w:p>
    <w:p w14:paraId="56D63F81" w14:textId="4364ABB1" w:rsidR="00357819" w:rsidRDefault="00357819" w:rsidP="00357819">
      <w:pPr>
        <w:pStyle w:val="Heading1"/>
      </w:pPr>
      <w:r>
        <w:t>6</w:t>
      </w:r>
      <w:r w:rsidRPr="006E13D1">
        <w:tab/>
      </w:r>
      <w:r w:rsidR="00E94A27">
        <w:t>Simultaneous recovery and re-establishment</w:t>
      </w:r>
    </w:p>
    <w:p w14:paraId="1DF103CC" w14:textId="4A88EF0C" w:rsidR="00E94A27" w:rsidRPr="008A1C37" w:rsidRDefault="00E94A27" w:rsidP="00E94A27">
      <w:pPr>
        <w:rPr>
          <w:lang w:val="en-US"/>
        </w:rPr>
      </w:pPr>
      <w:r>
        <w:t xml:space="preserve">The goal of T312 is to shorten the interruption caused by a failure. </w:t>
      </w:r>
      <w:r w:rsidR="004F7FF5">
        <w:t>W</w:t>
      </w:r>
      <w:r>
        <w:t>ith the solution for reducing the user data interruption time</w:t>
      </w:r>
      <w:r w:rsidR="004F7FF5">
        <w:t xml:space="preserve"> (RUDI)</w:t>
      </w:r>
      <w:r>
        <w:t xml:space="preserve">, </w:t>
      </w:r>
      <w:r w:rsidR="004F7FF5">
        <w:t xml:space="preserve">we have </w:t>
      </w:r>
      <w:r>
        <w:t>UE</w:t>
      </w:r>
      <w:r w:rsidR="004F7FF5">
        <w:t>s</w:t>
      </w:r>
      <w:r>
        <w:t xml:space="preserve"> support</w:t>
      </w:r>
      <w:r w:rsidR="004F7FF5">
        <w:t>ing</w:t>
      </w:r>
      <w:r>
        <w:t xml:space="preserve"> dual active protocol stacks</w:t>
      </w:r>
      <w:r w:rsidR="004F7FF5">
        <w:t xml:space="preserve"> (DAPS)</w:t>
      </w:r>
      <w:r>
        <w:t>, as well as two transmitters and receivers.</w:t>
      </w:r>
      <w:r w:rsidR="004F7FF5">
        <w:t xml:space="preserve"> In th</w:t>
      </w:r>
      <w:r w:rsidR="00D6585E">
        <w:t xml:space="preserve">is section </w:t>
      </w:r>
      <w:r w:rsidR="004F7FF5">
        <w:t>we will propose a simple method which, by exploiting this fact, further shortens the interruption caused by a failure.</w:t>
      </w:r>
    </w:p>
    <w:p w14:paraId="175777F7" w14:textId="133D453B" w:rsidR="00E94A27" w:rsidRDefault="00E94A27" w:rsidP="00E94A27">
      <w:pPr>
        <w:jc w:val="both"/>
      </w:pPr>
      <w:r>
        <w:t>Today, RRC connection re-establishment is only started after a Radio Link Failure (RLF) or a Handover failure (</w:t>
      </w:r>
      <w:proofErr w:type="spellStart"/>
      <w:r>
        <w:t>HoF</w:t>
      </w:r>
      <w:proofErr w:type="spellEnd"/>
      <w:r>
        <w:t xml:space="preserve">). After these failures, the UE completely detaches from the source cell and starts cell selection, synchronization, system information reading and random access with the new target. Data transmission can only be resumed after all this is completed. With conventional UEs, the process cannot be started earlier since the UE is still supposed to try recovering </w:t>
      </w:r>
      <w:r>
        <w:lastRenderedPageBreak/>
        <w:t xml:space="preserve">in the old cell (e.g. during T310) or completing the access (e.g. during T304) to avoid an unnecessary re-establishment (“false alarm”). We illustrate this sequential behaviour by help of radio link failure in </w:t>
      </w:r>
      <w:r>
        <w:fldChar w:fldCharType="begin"/>
      </w:r>
      <w:r>
        <w:instrText xml:space="preserve"> REF _Ref14693966 \h </w:instrText>
      </w:r>
      <w:r>
        <w:fldChar w:fldCharType="separate"/>
      </w:r>
      <w:r>
        <w:t xml:space="preserve">Figure </w:t>
      </w:r>
      <w:r>
        <w:rPr>
          <w:noProof/>
        </w:rPr>
        <w:t>1</w:t>
      </w:r>
      <w:r>
        <w:fldChar w:fldCharType="end"/>
      </w:r>
      <w:r>
        <w:t xml:space="preserve">. The figure is taken from </w:t>
      </w:r>
      <w:r w:rsidR="00D6585E">
        <w:t xml:space="preserve">TS </w:t>
      </w:r>
      <w:r>
        <w:t>36.300, T1 represents T310, the yellow part represents the re-establishment</w:t>
      </w:r>
      <w:r w:rsidR="00D6585E">
        <w:t xml:space="preserve"> phase</w:t>
      </w:r>
      <w:r>
        <w:t>.</w:t>
      </w:r>
    </w:p>
    <w:p w14:paraId="11A1FB6D" w14:textId="77777777" w:rsidR="00E94A27" w:rsidRDefault="00E94A27" w:rsidP="00E94A27">
      <w:pPr>
        <w:keepNext/>
        <w:jc w:val="center"/>
      </w:pPr>
      <w:r w:rsidRPr="001B7475">
        <w:object w:dxaOrig="8559" w:dyaOrig="2309" w14:anchorId="64AEB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15.5pt" o:ole="">
            <v:imagedata r:id="rId12" o:title=""/>
          </v:shape>
          <o:OLEObject Type="Embed" ProgID="Visio.Drawing.11" ShapeID="_x0000_i1025" DrawAspect="Content" ObjectID="_1631617717" r:id="rId13"/>
        </w:object>
      </w:r>
    </w:p>
    <w:p w14:paraId="0E373D06" w14:textId="77777777" w:rsidR="00E94A27" w:rsidRDefault="00E94A27" w:rsidP="00E94A27">
      <w:pPr>
        <w:pStyle w:val="Caption"/>
        <w:jc w:val="center"/>
      </w:pPr>
      <w:bookmarkStart w:id="1" w:name="_Ref14693966"/>
      <w:r>
        <w:t xml:space="preserve">Figure </w:t>
      </w:r>
      <w:r w:rsidR="00507A5A">
        <w:fldChar w:fldCharType="begin"/>
      </w:r>
      <w:r w:rsidR="00507A5A">
        <w:instrText xml:space="preserve"> SEQ Figure \* ARABIC </w:instrText>
      </w:r>
      <w:r w:rsidR="00507A5A">
        <w:fldChar w:fldCharType="separate"/>
      </w:r>
      <w:r>
        <w:rPr>
          <w:noProof/>
        </w:rPr>
        <w:t>1</w:t>
      </w:r>
      <w:r w:rsidR="00507A5A">
        <w:rPr>
          <w:noProof/>
        </w:rPr>
        <w:fldChar w:fldCharType="end"/>
      </w:r>
      <w:bookmarkEnd w:id="1"/>
      <w:r>
        <w:t xml:space="preserve"> Convention RLF detection</w:t>
      </w:r>
    </w:p>
    <w:p w14:paraId="782CBA09" w14:textId="095ADE37" w:rsidR="00E94A27" w:rsidRDefault="00E94A27" w:rsidP="00E94A27">
      <w:pPr>
        <w:jc w:val="both"/>
      </w:pPr>
      <w:r>
        <w:t>However, having RUDI</w:t>
      </w:r>
      <w:r w:rsidR="00D6585E">
        <w:t>-</w:t>
      </w:r>
      <w:r>
        <w:t>capable UEs (</w:t>
      </w:r>
      <w:r w:rsidR="00D6585E">
        <w:t>with</w:t>
      </w:r>
      <w:r>
        <w:t xml:space="preserve"> two receivers), it might be easy to initiate the re-establishment earlier, i.e. while the UE is still trying to recover in the former cell. This may save several tens of milliseconds of the usual interruption time.</w:t>
      </w:r>
    </w:p>
    <w:p w14:paraId="66E9E793" w14:textId="77777777" w:rsidR="00E94A27" w:rsidRDefault="00E94A27" w:rsidP="00E94A27">
      <w:pPr>
        <w:jc w:val="both"/>
        <w:rPr>
          <w:b/>
        </w:rPr>
      </w:pPr>
      <w:r>
        <w:rPr>
          <w:b/>
        </w:rPr>
        <w:t xml:space="preserve">Observation 1: RUDI capable UEs have two receivers, and thus could start RRC connection re-establishment before detaching from the former cell when declaring RLF or </w:t>
      </w:r>
      <w:proofErr w:type="spellStart"/>
      <w:r>
        <w:rPr>
          <w:b/>
        </w:rPr>
        <w:t>HoF</w:t>
      </w:r>
      <w:proofErr w:type="spellEnd"/>
      <w:r>
        <w:rPr>
          <w:b/>
        </w:rPr>
        <w:t>. This could save tens of milliseconds (cell selection, synchronization, system information reading and random access).</w:t>
      </w:r>
    </w:p>
    <w:p w14:paraId="3665D96E" w14:textId="13F7F9D4" w:rsidR="00E94A27" w:rsidRDefault="00E94A27" w:rsidP="00E94A27">
      <w:pPr>
        <w:jc w:val="both"/>
      </w:pPr>
      <w:r>
        <w:t>Again</w:t>
      </w:r>
      <w:r w:rsidR="004F7FF5">
        <w:t>,</w:t>
      </w:r>
      <w:r>
        <w:t xml:space="preserve"> using the example of RLF through T310 expiry, we illustrate the proposed behaviour with earlier re-establishment in </w:t>
      </w:r>
      <w:r>
        <w:fldChar w:fldCharType="begin"/>
      </w:r>
      <w:r>
        <w:instrText xml:space="preserve"> REF _Ref14694195 \h </w:instrText>
      </w:r>
      <w:r>
        <w:fldChar w:fldCharType="separate"/>
      </w:r>
      <w:r>
        <w:t xml:space="preserve">Figure </w:t>
      </w:r>
      <w:r>
        <w:rPr>
          <w:noProof/>
        </w:rPr>
        <w:t>2</w:t>
      </w:r>
      <w:r>
        <w:fldChar w:fldCharType="end"/>
      </w:r>
      <w:r>
        <w:t>.</w:t>
      </w:r>
    </w:p>
    <w:p w14:paraId="7C53216E" w14:textId="77777777" w:rsidR="00E94A27" w:rsidRDefault="00E94A27" w:rsidP="00E94A27">
      <w:pPr>
        <w:jc w:val="both"/>
        <w:rPr>
          <w:b/>
        </w:rPr>
      </w:pPr>
    </w:p>
    <w:p w14:paraId="1C367C50" w14:textId="77777777" w:rsidR="00E94A27" w:rsidRDefault="00E94A27" w:rsidP="00E94A27">
      <w:pPr>
        <w:keepNext/>
        <w:jc w:val="center"/>
      </w:pPr>
      <w:r>
        <w:rPr>
          <w:b/>
          <w:noProof/>
        </w:rPr>
        <w:drawing>
          <wp:inline distT="0" distB="0" distL="0" distR="0" wp14:anchorId="68B8CA53" wp14:editId="1436C6BE">
            <wp:extent cx="4675367" cy="149627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2853" cy="1508274"/>
                    </a:xfrm>
                    <a:prstGeom prst="rect">
                      <a:avLst/>
                    </a:prstGeom>
                    <a:noFill/>
                  </pic:spPr>
                </pic:pic>
              </a:graphicData>
            </a:graphic>
          </wp:inline>
        </w:drawing>
      </w:r>
    </w:p>
    <w:p w14:paraId="714BCC92" w14:textId="77777777" w:rsidR="00E94A27" w:rsidRDefault="00E94A27" w:rsidP="00E94A27">
      <w:pPr>
        <w:pStyle w:val="Caption"/>
        <w:jc w:val="center"/>
        <w:rPr>
          <w:b/>
        </w:rPr>
      </w:pPr>
      <w:bookmarkStart w:id="2" w:name="_Ref14694195"/>
      <w:r>
        <w:t xml:space="preserve">Figure </w:t>
      </w:r>
      <w:r w:rsidR="00507A5A">
        <w:fldChar w:fldCharType="begin"/>
      </w:r>
      <w:r w:rsidR="00507A5A">
        <w:instrText xml:space="preserve"> SEQ Figure \* ARABIC </w:instrText>
      </w:r>
      <w:r w:rsidR="00507A5A">
        <w:fldChar w:fldCharType="separate"/>
      </w:r>
      <w:r>
        <w:rPr>
          <w:noProof/>
        </w:rPr>
        <w:t>2</w:t>
      </w:r>
      <w:r w:rsidR="00507A5A">
        <w:rPr>
          <w:noProof/>
        </w:rPr>
        <w:fldChar w:fldCharType="end"/>
      </w:r>
      <w:bookmarkEnd w:id="2"/>
      <w:r>
        <w:t xml:space="preserve"> RLF detection with early re-establishment</w:t>
      </w:r>
    </w:p>
    <w:p w14:paraId="03F3F022" w14:textId="77777777" w:rsidR="00E94A27" w:rsidRDefault="00E94A27" w:rsidP="00E94A27">
      <w:pPr>
        <w:jc w:val="both"/>
      </w:pPr>
      <w:r>
        <w:t>Re-establishment shall not be completed before the failure is declared. In this case, the chances to recover in the former cell are not impacted, i.e. there is no unnecessary interruption due to re-establishment.</w:t>
      </w:r>
    </w:p>
    <w:p w14:paraId="404FFBD4" w14:textId="34B7202B" w:rsidR="00E94A27" w:rsidRDefault="00E94A27" w:rsidP="00E94A27">
      <w:pPr>
        <w:jc w:val="both"/>
      </w:pPr>
      <w:r>
        <w:t xml:space="preserve">Of course, it may happen that early re-establishment is initiated, but the UE recovers in the former cell afterwards. In this case, the early re-establishment still has no direct impact on user perception, but obviously has caused unnecessary overhead. Nevertheless, such an unnecessary early re-establishment should be a very rare event, and this price seems to be cheap compared with saving tens of milliseconds with </w:t>
      </w:r>
      <w:proofErr w:type="gramStart"/>
      <w:r>
        <w:t>each and every</w:t>
      </w:r>
      <w:proofErr w:type="gramEnd"/>
      <w:r>
        <w:t xml:space="preserve"> re-establishment</w:t>
      </w:r>
      <w:r w:rsidR="00CA1290">
        <w:t xml:space="preserve"> triggered late (i.e. in the legacy way)</w:t>
      </w:r>
      <w:r>
        <w:t xml:space="preserve">. </w:t>
      </w:r>
    </w:p>
    <w:p w14:paraId="577CC5B0" w14:textId="1C797AC9" w:rsidR="00E94A27" w:rsidRPr="00E85988" w:rsidRDefault="00E94A27" w:rsidP="00E94A27">
      <w:pPr>
        <w:jc w:val="both"/>
        <w:rPr>
          <w:b/>
        </w:rPr>
      </w:pPr>
      <w:r>
        <w:rPr>
          <w:b/>
        </w:rPr>
        <w:t xml:space="preserve">Proposal </w:t>
      </w:r>
      <w:r w:rsidR="00202E8D">
        <w:rPr>
          <w:b/>
        </w:rPr>
        <w:t>5</w:t>
      </w:r>
      <w:r>
        <w:rPr>
          <w:b/>
        </w:rPr>
        <w:t xml:space="preserve">: RAN2 considers allowing RUDI capable UEs to initiate RRC connection re-establishment before RLF or </w:t>
      </w:r>
      <w:proofErr w:type="spellStart"/>
      <w:r>
        <w:rPr>
          <w:b/>
        </w:rPr>
        <w:t>HoF</w:t>
      </w:r>
      <w:proofErr w:type="spellEnd"/>
      <w:r>
        <w:rPr>
          <w:b/>
        </w:rPr>
        <w:t xml:space="preserve"> is declared. Details are </w:t>
      </w:r>
      <w:r w:rsidR="006C04EE">
        <w:rPr>
          <w:b/>
        </w:rPr>
        <w:t>FFS</w:t>
      </w:r>
      <w:r>
        <w:rPr>
          <w:b/>
        </w:rPr>
        <w:t>.</w:t>
      </w:r>
    </w:p>
    <w:p w14:paraId="5FF2457F" w14:textId="7B683786" w:rsidR="00A209D6" w:rsidRPr="006E13D1" w:rsidRDefault="00202E8D" w:rsidP="00A209D6">
      <w:pPr>
        <w:pStyle w:val="Heading1"/>
      </w:pPr>
      <w:r>
        <w:t>7</w:t>
      </w:r>
      <w:r w:rsidR="00A209D6" w:rsidRPr="006E13D1">
        <w:tab/>
      </w:r>
      <w:r w:rsidR="008C3057">
        <w:t>Conclusion</w:t>
      </w:r>
    </w:p>
    <w:p w14:paraId="6C60FFDC" w14:textId="1E84D4F9" w:rsidR="00A209D6" w:rsidRPr="006E13D1" w:rsidRDefault="00F2097E" w:rsidP="00A209D6">
      <w:r>
        <w:t xml:space="preserve">This paper discussed T312 related aspects. The following proposals have been made: </w:t>
      </w:r>
    </w:p>
    <w:p w14:paraId="65D13391" w14:textId="77777777" w:rsidR="008302BF" w:rsidRDefault="008302BF" w:rsidP="008302BF">
      <w:pPr>
        <w:rPr>
          <w:b/>
        </w:rPr>
      </w:pPr>
      <w:r w:rsidRPr="00895A29">
        <w:rPr>
          <w:b/>
        </w:rPr>
        <w:t xml:space="preserve">Proposal </w:t>
      </w:r>
      <w:r>
        <w:rPr>
          <w:b/>
        </w:rPr>
        <w:t>1</w:t>
      </w:r>
      <w:r w:rsidRPr="00895A29">
        <w:rPr>
          <w:b/>
        </w:rPr>
        <w:t>: T312 shall be started independent of T310, but expiry of T312 shall only declare RLF i</w:t>
      </w:r>
      <w:r>
        <w:rPr>
          <w:b/>
        </w:rPr>
        <w:t>f</w:t>
      </w:r>
      <w:r w:rsidRPr="00895A29">
        <w:rPr>
          <w:b/>
        </w:rPr>
        <w:t xml:space="preserve"> T310 is running </w:t>
      </w:r>
      <w:proofErr w:type="gramStart"/>
      <w:r w:rsidRPr="00895A29">
        <w:rPr>
          <w:b/>
        </w:rPr>
        <w:t>at this point in time</w:t>
      </w:r>
      <w:proofErr w:type="gramEnd"/>
      <w:r w:rsidRPr="00895A29">
        <w:rPr>
          <w:b/>
        </w:rPr>
        <w:t>.</w:t>
      </w:r>
    </w:p>
    <w:p w14:paraId="0D0E6068" w14:textId="77777777" w:rsidR="008302BF" w:rsidRDefault="008302BF" w:rsidP="008302BF">
      <w:pPr>
        <w:rPr>
          <w:b/>
        </w:rPr>
      </w:pPr>
      <w:r w:rsidRPr="00895A29">
        <w:rPr>
          <w:b/>
        </w:rPr>
        <w:lastRenderedPageBreak/>
        <w:t xml:space="preserve">Proposal </w:t>
      </w:r>
      <w:r>
        <w:rPr>
          <w:b/>
        </w:rPr>
        <w:t>2</w:t>
      </w:r>
      <w:r w:rsidRPr="00895A29">
        <w:rPr>
          <w:b/>
        </w:rPr>
        <w:t>: T312</w:t>
      </w:r>
      <w:r>
        <w:rPr>
          <w:b/>
        </w:rPr>
        <w:t xml:space="preserve"> is also applicable to CHO preparation. RAN2 needs to clarify that RRC Reconfiguration carrying CHO Command stops T312.</w:t>
      </w:r>
    </w:p>
    <w:p w14:paraId="27B2543E" w14:textId="77777777" w:rsidR="008302BF" w:rsidRDefault="008302BF" w:rsidP="008302BF">
      <w:pPr>
        <w:rPr>
          <w:b/>
        </w:rPr>
      </w:pPr>
      <w:r w:rsidRPr="00895A29">
        <w:rPr>
          <w:b/>
        </w:rPr>
        <w:t xml:space="preserve">Proposal </w:t>
      </w:r>
      <w:r>
        <w:rPr>
          <w:b/>
        </w:rPr>
        <w:t>3</w:t>
      </w:r>
      <w:r w:rsidRPr="00895A29">
        <w:rPr>
          <w:b/>
        </w:rPr>
        <w:t xml:space="preserve">: </w:t>
      </w:r>
      <w:r>
        <w:rPr>
          <w:b/>
        </w:rPr>
        <w:t>Event that triggers the CHO execution does not initiate timer T312.</w:t>
      </w:r>
    </w:p>
    <w:p w14:paraId="354485FC" w14:textId="77777777" w:rsidR="008302BF" w:rsidRDefault="008302BF" w:rsidP="008302BF">
      <w:pPr>
        <w:rPr>
          <w:b/>
        </w:rPr>
      </w:pPr>
      <w:r w:rsidRPr="00895A29">
        <w:rPr>
          <w:b/>
        </w:rPr>
        <w:t xml:space="preserve">Proposal </w:t>
      </w:r>
      <w:r>
        <w:rPr>
          <w:b/>
        </w:rPr>
        <w:t>4</w:t>
      </w:r>
      <w:r w:rsidRPr="00895A29">
        <w:rPr>
          <w:b/>
        </w:rPr>
        <w:t>: T312</w:t>
      </w:r>
      <w:r>
        <w:rPr>
          <w:b/>
        </w:rPr>
        <w:t xml:space="preserve"> can be also applicable to </w:t>
      </w:r>
      <w:proofErr w:type="spellStart"/>
      <w:r>
        <w:rPr>
          <w:b/>
        </w:rPr>
        <w:t>PSCell</w:t>
      </w:r>
      <w:proofErr w:type="spellEnd"/>
      <w:r>
        <w:rPr>
          <w:b/>
        </w:rPr>
        <w:t xml:space="preserve"> change. RAN2 needs to clarify that the RRC reconfiguration for the </w:t>
      </w:r>
      <w:proofErr w:type="spellStart"/>
      <w:r>
        <w:rPr>
          <w:b/>
        </w:rPr>
        <w:t>PSCell</w:t>
      </w:r>
      <w:proofErr w:type="spellEnd"/>
      <w:r>
        <w:rPr>
          <w:b/>
        </w:rPr>
        <w:t xml:space="preserve"> change stops T312.</w:t>
      </w:r>
    </w:p>
    <w:p w14:paraId="1F914E44" w14:textId="77777777" w:rsidR="008302BF" w:rsidRDefault="008302BF" w:rsidP="008302BF">
      <w:pPr>
        <w:jc w:val="both"/>
        <w:rPr>
          <w:b/>
        </w:rPr>
      </w:pPr>
      <w:r>
        <w:rPr>
          <w:b/>
        </w:rPr>
        <w:t xml:space="preserve">Observation 1: RUDI capable UEs have two receivers, and thus could start RRC connection re-establishment before detaching from the former cell when declaring RLF or </w:t>
      </w:r>
      <w:proofErr w:type="spellStart"/>
      <w:r>
        <w:rPr>
          <w:b/>
        </w:rPr>
        <w:t>HoF</w:t>
      </w:r>
      <w:proofErr w:type="spellEnd"/>
      <w:r>
        <w:rPr>
          <w:b/>
        </w:rPr>
        <w:t>. This could save tens of milliseconds (cell selection, synchronization, system information reading and random access).</w:t>
      </w:r>
    </w:p>
    <w:p w14:paraId="1C166F4C" w14:textId="77777777" w:rsidR="008302BF" w:rsidRPr="00E85988" w:rsidRDefault="008302BF" w:rsidP="008302BF">
      <w:pPr>
        <w:jc w:val="both"/>
        <w:rPr>
          <w:b/>
        </w:rPr>
      </w:pPr>
      <w:r>
        <w:rPr>
          <w:b/>
        </w:rPr>
        <w:t xml:space="preserve">Proposal 5: RAN2 considers allowing RUDI capable UEs to initiate RRC connection re-establishment before RLF or </w:t>
      </w:r>
      <w:proofErr w:type="spellStart"/>
      <w:r>
        <w:rPr>
          <w:b/>
        </w:rPr>
        <w:t>HoF</w:t>
      </w:r>
      <w:proofErr w:type="spellEnd"/>
      <w:r>
        <w:rPr>
          <w:b/>
        </w:rPr>
        <w:t xml:space="preserve"> is declared. Details are FFS.</w:t>
      </w:r>
    </w:p>
    <w:p w14:paraId="60449C3F" w14:textId="4107C619"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1E39F" w14:textId="77777777" w:rsidR="005F5C73" w:rsidRDefault="005F5C73">
      <w:r>
        <w:separator/>
      </w:r>
    </w:p>
  </w:endnote>
  <w:endnote w:type="continuationSeparator" w:id="0">
    <w:p w14:paraId="5B3C8DD9" w14:textId="77777777" w:rsidR="005F5C73" w:rsidRDefault="005F5C73">
      <w:r>
        <w:continuationSeparator/>
      </w:r>
    </w:p>
  </w:endnote>
  <w:endnote w:type="continuationNotice" w:id="1">
    <w:p w14:paraId="4172C50F" w14:textId="77777777" w:rsidR="005F5C73" w:rsidRDefault="005F5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490DA" w14:textId="77777777" w:rsidR="005F5C73" w:rsidRDefault="005F5C73">
      <w:r>
        <w:separator/>
      </w:r>
    </w:p>
  </w:footnote>
  <w:footnote w:type="continuationSeparator" w:id="0">
    <w:p w14:paraId="3FA7F6F0" w14:textId="77777777" w:rsidR="005F5C73" w:rsidRDefault="005F5C73">
      <w:r>
        <w:continuationSeparator/>
      </w:r>
    </w:p>
  </w:footnote>
  <w:footnote w:type="continuationNotice" w:id="1">
    <w:p w14:paraId="417603E5" w14:textId="77777777" w:rsidR="005F5C73" w:rsidRDefault="005F5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A72696"/>
    <w:multiLevelType w:val="hybridMultilevel"/>
    <w:tmpl w:val="29841B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92"/>
    <w:rsid w:val="00014CB4"/>
    <w:rsid w:val="00016557"/>
    <w:rsid w:val="00023C40"/>
    <w:rsid w:val="00033397"/>
    <w:rsid w:val="00040095"/>
    <w:rsid w:val="00073C9C"/>
    <w:rsid w:val="00080512"/>
    <w:rsid w:val="00090468"/>
    <w:rsid w:val="00094568"/>
    <w:rsid w:val="000B7BCF"/>
    <w:rsid w:val="000C522B"/>
    <w:rsid w:val="000D58AB"/>
    <w:rsid w:val="000E3038"/>
    <w:rsid w:val="0010107E"/>
    <w:rsid w:val="00112F1A"/>
    <w:rsid w:val="00145075"/>
    <w:rsid w:val="001741A0"/>
    <w:rsid w:val="00175FA0"/>
    <w:rsid w:val="00176D2E"/>
    <w:rsid w:val="00194CD0"/>
    <w:rsid w:val="001B49C9"/>
    <w:rsid w:val="001C23F4"/>
    <w:rsid w:val="001C4F79"/>
    <w:rsid w:val="001F168B"/>
    <w:rsid w:val="001F7831"/>
    <w:rsid w:val="00202E8D"/>
    <w:rsid w:val="00204045"/>
    <w:rsid w:val="0020712B"/>
    <w:rsid w:val="0022606D"/>
    <w:rsid w:val="00231728"/>
    <w:rsid w:val="00250404"/>
    <w:rsid w:val="00251125"/>
    <w:rsid w:val="002610D8"/>
    <w:rsid w:val="002747EC"/>
    <w:rsid w:val="00283894"/>
    <w:rsid w:val="002855BF"/>
    <w:rsid w:val="002A770F"/>
    <w:rsid w:val="002E2D8C"/>
    <w:rsid w:val="002E3BBC"/>
    <w:rsid w:val="002F0D22"/>
    <w:rsid w:val="003172DC"/>
    <w:rsid w:val="00325AE3"/>
    <w:rsid w:val="00326069"/>
    <w:rsid w:val="0035462D"/>
    <w:rsid w:val="00357819"/>
    <w:rsid w:val="00364B41"/>
    <w:rsid w:val="00383096"/>
    <w:rsid w:val="003A41EF"/>
    <w:rsid w:val="003B40AD"/>
    <w:rsid w:val="003C4E37"/>
    <w:rsid w:val="003E16BE"/>
    <w:rsid w:val="003F4E28"/>
    <w:rsid w:val="004006E8"/>
    <w:rsid w:val="00401855"/>
    <w:rsid w:val="004139CD"/>
    <w:rsid w:val="00465587"/>
    <w:rsid w:val="00477455"/>
    <w:rsid w:val="004A1F7B"/>
    <w:rsid w:val="004C44D2"/>
    <w:rsid w:val="004D3578"/>
    <w:rsid w:val="004D380D"/>
    <w:rsid w:val="004E213A"/>
    <w:rsid w:val="004F7FF5"/>
    <w:rsid w:val="00503171"/>
    <w:rsid w:val="00506C28"/>
    <w:rsid w:val="00507A5A"/>
    <w:rsid w:val="00524D7C"/>
    <w:rsid w:val="00534DA0"/>
    <w:rsid w:val="00543E6C"/>
    <w:rsid w:val="00565087"/>
    <w:rsid w:val="0056573F"/>
    <w:rsid w:val="005F5C73"/>
    <w:rsid w:val="00611566"/>
    <w:rsid w:val="00646D99"/>
    <w:rsid w:val="00656910"/>
    <w:rsid w:val="006574C0"/>
    <w:rsid w:val="006C04EE"/>
    <w:rsid w:val="006C66D8"/>
    <w:rsid w:val="006D1E24"/>
    <w:rsid w:val="006E1417"/>
    <w:rsid w:val="006F6A2C"/>
    <w:rsid w:val="007069DC"/>
    <w:rsid w:val="00710201"/>
    <w:rsid w:val="0072073A"/>
    <w:rsid w:val="007342B5"/>
    <w:rsid w:val="00734A5B"/>
    <w:rsid w:val="00744E76"/>
    <w:rsid w:val="00755CB7"/>
    <w:rsid w:val="00757D40"/>
    <w:rsid w:val="007662B5"/>
    <w:rsid w:val="00781F0F"/>
    <w:rsid w:val="0078727C"/>
    <w:rsid w:val="0079049D"/>
    <w:rsid w:val="00793DC5"/>
    <w:rsid w:val="007B18D8"/>
    <w:rsid w:val="007B1B12"/>
    <w:rsid w:val="007C095F"/>
    <w:rsid w:val="007C2DD0"/>
    <w:rsid w:val="007F2E08"/>
    <w:rsid w:val="008028A4"/>
    <w:rsid w:val="00813245"/>
    <w:rsid w:val="008302BF"/>
    <w:rsid w:val="00840DE0"/>
    <w:rsid w:val="0086354A"/>
    <w:rsid w:val="008768CA"/>
    <w:rsid w:val="00877EF9"/>
    <w:rsid w:val="00880559"/>
    <w:rsid w:val="00895A29"/>
    <w:rsid w:val="008B5306"/>
    <w:rsid w:val="008C3057"/>
    <w:rsid w:val="008D2E4D"/>
    <w:rsid w:val="008E7CB0"/>
    <w:rsid w:val="008F396F"/>
    <w:rsid w:val="0090228C"/>
    <w:rsid w:val="0090271F"/>
    <w:rsid w:val="00902DB9"/>
    <w:rsid w:val="0090466A"/>
    <w:rsid w:val="00923655"/>
    <w:rsid w:val="00936071"/>
    <w:rsid w:val="00940212"/>
    <w:rsid w:val="00942EC2"/>
    <w:rsid w:val="0094393C"/>
    <w:rsid w:val="00961B32"/>
    <w:rsid w:val="00962509"/>
    <w:rsid w:val="00970DB3"/>
    <w:rsid w:val="00974BB0"/>
    <w:rsid w:val="00975BCD"/>
    <w:rsid w:val="009A0AF3"/>
    <w:rsid w:val="009B07CD"/>
    <w:rsid w:val="009B7AEB"/>
    <w:rsid w:val="009C19E9"/>
    <w:rsid w:val="009D74A6"/>
    <w:rsid w:val="00A10F02"/>
    <w:rsid w:val="00A204CA"/>
    <w:rsid w:val="00A209D6"/>
    <w:rsid w:val="00A24FA2"/>
    <w:rsid w:val="00A53724"/>
    <w:rsid w:val="00A54B2B"/>
    <w:rsid w:val="00A82346"/>
    <w:rsid w:val="00A9671C"/>
    <w:rsid w:val="00AA1553"/>
    <w:rsid w:val="00B05380"/>
    <w:rsid w:val="00B05962"/>
    <w:rsid w:val="00B15449"/>
    <w:rsid w:val="00B16C2F"/>
    <w:rsid w:val="00B27303"/>
    <w:rsid w:val="00B47FD1"/>
    <w:rsid w:val="00B516BB"/>
    <w:rsid w:val="00B84DB2"/>
    <w:rsid w:val="00BB23D2"/>
    <w:rsid w:val="00BC3555"/>
    <w:rsid w:val="00C04309"/>
    <w:rsid w:val="00C12B51"/>
    <w:rsid w:val="00C24650"/>
    <w:rsid w:val="00C25465"/>
    <w:rsid w:val="00C313A8"/>
    <w:rsid w:val="00C33079"/>
    <w:rsid w:val="00C334DB"/>
    <w:rsid w:val="00C75ECD"/>
    <w:rsid w:val="00C83A13"/>
    <w:rsid w:val="00C9068C"/>
    <w:rsid w:val="00C92967"/>
    <w:rsid w:val="00CA1290"/>
    <w:rsid w:val="00CA3D0C"/>
    <w:rsid w:val="00CA654B"/>
    <w:rsid w:val="00CB72B8"/>
    <w:rsid w:val="00CD4C7B"/>
    <w:rsid w:val="00CE04AB"/>
    <w:rsid w:val="00D1105B"/>
    <w:rsid w:val="00D33BE3"/>
    <w:rsid w:val="00D3792D"/>
    <w:rsid w:val="00D55E47"/>
    <w:rsid w:val="00D62E19"/>
    <w:rsid w:val="00D6585E"/>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5B74"/>
    <w:rsid w:val="00E77645"/>
    <w:rsid w:val="00E83697"/>
    <w:rsid w:val="00E94A27"/>
    <w:rsid w:val="00EA66C9"/>
    <w:rsid w:val="00EC4A25"/>
    <w:rsid w:val="00EC667A"/>
    <w:rsid w:val="00ED67AE"/>
    <w:rsid w:val="00F025A2"/>
    <w:rsid w:val="00F036E9"/>
    <w:rsid w:val="00F07388"/>
    <w:rsid w:val="00F2026E"/>
    <w:rsid w:val="00F2097E"/>
    <w:rsid w:val="00F2210A"/>
    <w:rsid w:val="00F37743"/>
    <w:rsid w:val="00F54A3D"/>
    <w:rsid w:val="00F54CB0"/>
    <w:rsid w:val="00F579CD"/>
    <w:rsid w:val="00F653B8"/>
    <w:rsid w:val="00F71B89"/>
    <w:rsid w:val="00F7353C"/>
    <w:rsid w:val="00F76F8F"/>
    <w:rsid w:val="00F77853"/>
    <w:rsid w:val="00F941DF"/>
    <w:rsid w:val="00FA1266"/>
    <w:rsid w:val="00FB2D7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24F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3BBC"/>
    <w:pPr>
      <w:ind w:left="720"/>
      <w:contextualSpacing/>
    </w:pPr>
  </w:style>
  <w:style w:type="paragraph" w:styleId="Caption">
    <w:name w:val="caption"/>
    <w:basedOn w:val="Normal"/>
    <w:next w:val="Normal"/>
    <w:unhideWhenUsed/>
    <w:qFormat/>
    <w:rsid w:val="00E94A27"/>
    <w:pPr>
      <w:spacing w:after="200"/>
    </w:pPr>
    <w:rPr>
      <w:i/>
      <w:iCs/>
      <w:color w:val="44546A" w:themeColor="text2"/>
      <w:sz w:val="18"/>
      <w:szCs w:val="18"/>
    </w:rPr>
  </w:style>
  <w:style w:type="character" w:styleId="CommentReference">
    <w:name w:val="annotation reference"/>
    <w:basedOn w:val="DefaultParagraphFont"/>
    <w:rsid w:val="0090228C"/>
    <w:rPr>
      <w:sz w:val="16"/>
      <w:szCs w:val="16"/>
    </w:rPr>
  </w:style>
  <w:style w:type="paragraph" w:styleId="CommentText">
    <w:name w:val="annotation text"/>
    <w:basedOn w:val="Normal"/>
    <w:link w:val="CommentTextChar"/>
    <w:rsid w:val="0090228C"/>
  </w:style>
  <w:style w:type="character" w:customStyle="1" w:styleId="CommentTextChar">
    <w:name w:val="Comment Text Char"/>
    <w:basedOn w:val="DefaultParagraphFont"/>
    <w:link w:val="CommentText"/>
    <w:rsid w:val="0090228C"/>
    <w:rPr>
      <w:lang w:eastAsia="en-US"/>
    </w:rPr>
  </w:style>
  <w:style w:type="paragraph" w:styleId="CommentSubject">
    <w:name w:val="annotation subject"/>
    <w:basedOn w:val="CommentText"/>
    <w:next w:val="CommentText"/>
    <w:link w:val="CommentSubjectChar"/>
    <w:rsid w:val="0090228C"/>
    <w:rPr>
      <w:b/>
      <w:bCs/>
    </w:rPr>
  </w:style>
  <w:style w:type="character" w:customStyle="1" w:styleId="CommentSubjectChar">
    <w:name w:val="Comment Subject Char"/>
    <w:basedOn w:val="CommentTextChar"/>
    <w:link w:val="CommentSubject"/>
    <w:rsid w:val="0090228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5AIRPNAIUNRU-859666464-5569</_dlc_DocId>
    <_dlc_DocIdUrl xmlns="71c5aaf6-e6ce-465b-b873-5148d2a4c105">
      <Url>https://nokia.sharepoint.com/sites/c5g/e2earch/_layouts/15/DocIdRedir.aspx?ID=5AIRPNAIUNRU-859666464-5569</Url>
      <Description>5AIRPNAIUNRU-859666464-5569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purl.org/dc/terms/"/>
    <ds:schemaRef ds:uri="83f22d2f-d16e-4be6-ad4f-29fa0b067c3c"/>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a3840f4f-04be-43d1-b2ef-6ff1382503c7"/>
    <ds:schemaRef ds:uri="http://schemas.microsoft.com/office/infopath/2007/PartnerControls"/>
    <ds:schemaRef ds:uri="3b34c8f0-1ef5-4d1e-bb66-517ce7fe7356"/>
    <ds:schemaRef ds:uri="http://www.w3.org/XML/1998/namespac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4</Pages>
  <Words>1558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9684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Nokia</cp:lastModifiedBy>
  <cp:revision>15</cp:revision>
  <dcterms:created xsi:type="dcterms:W3CDTF">2019-09-19T12:49:00Z</dcterms:created>
  <dcterms:modified xsi:type="dcterms:W3CDTF">2019-10-03T12:21:00Z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0a46a40c-5c29-43a2-be88-30afe377b075</vt:lpwstr>
  </property>
</Properties>
</file>